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DD2" w14:textId="77777777" w:rsidR="00360CB8" w:rsidRPr="00DD07BE" w:rsidRDefault="00360CB8" w:rsidP="00A702B0">
      <w:pPr>
        <w:tabs>
          <w:tab w:val="left" w:pos="864"/>
          <w:tab w:val="left" w:pos="1296"/>
        </w:tabs>
        <w:jc w:val="center"/>
        <w:rPr>
          <w:rFonts w:ascii="Arial" w:hAnsi="Arial" w:cs="Arial"/>
          <w:b/>
          <w:sz w:val="36"/>
          <w:szCs w:val="36"/>
        </w:rPr>
      </w:pPr>
      <w:r w:rsidRPr="00DD07BE">
        <w:rPr>
          <w:rFonts w:ascii="Arial" w:hAnsi="Arial" w:cs="Arial"/>
          <w:b/>
          <w:sz w:val="36"/>
          <w:szCs w:val="36"/>
        </w:rPr>
        <w:t>*** COUNTY EMERGENCY OPERATIONS PLAN</w:t>
      </w:r>
    </w:p>
    <w:p w14:paraId="764E0B48" w14:textId="77777777" w:rsidR="00360CB8" w:rsidRPr="00312D81" w:rsidRDefault="00360CB8" w:rsidP="00A702B0">
      <w:pPr>
        <w:tabs>
          <w:tab w:val="left" w:pos="864"/>
          <w:tab w:val="left" w:pos="1296"/>
        </w:tabs>
        <w:jc w:val="center"/>
        <w:rPr>
          <w:rFonts w:ascii="Arial" w:hAnsi="Arial" w:cs="Arial"/>
          <w:sz w:val="24"/>
          <w:szCs w:val="24"/>
        </w:rPr>
      </w:pPr>
    </w:p>
    <w:p w14:paraId="2B13B9A0" w14:textId="77777777" w:rsidR="00360CB8" w:rsidRPr="00312D81" w:rsidRDefault="00360CB8" w:rsidP="00A702B0">
      <w:pPr>
        <w:tabs>
          <w:tab w:val="left" w:pos="864"/>
          <w:tab w:val="left" w:pos="1296"/>
        </w:tabs>
        <w:jc w:val="center"/>
        <w:rPr>
          <w:rFonts w:ascii="Arial" w:hAnsi="Arial" w:cs="Arial"/>
          <w:sz w:val="24"/>
          <w:szCs w:val="24"/>
          <w:u w:val="single"/>
        </w:rPr>
      </w:pPr>
    </w:p>
    <w:p w14:paraId="2EC4FB54" w14:textId="77777777" w:rsidR="00D94ECA" w:rsidRPr="00DD07BE" w:rsidRDefault="00360CB8" w:rsidP="00D94ECA">
      <w:pPr>
        <w:tabs>
          <w:tab w:val="left" w:pos="864"/>
          <w:tab w:val="left" w:pos="1296"/>
        </w:tabs>
        <w:jc w:val="center"/>
        <w:rPr>
          <w:rFonts w:ascii="Arial" w:hAnsi="Arial" w:cs="Arial"/>
          <w:b/>
          <w:sz w:val="32"/>
          <w:szCs w:val="32"/>
        </w:rPr>
      </w:pPr>
      <w:r w:rsidRPr="00DD07BE">
        <w:rPr>
          <w:rFonts w:ascii="Arial" w:hAnsi="Arial" w:cs="Arial"/>
          <w:b/>
          <w:sz w:val="32"/>
          <w:szCs w:val="32"/>
        </w:rPr>
        <w:t>PREFACE</w:t>
      </w:r>
    </w:p>
    <w:p w14:paraId="55EA94F0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2360A9B5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 xml:space="preserve">This *** County Emergency Operations Plan establishes </w:t>
      </w:r>
      <w:r w:rsidR="00D94ECA" w:rsidRPr="00312D81">
        <w:rPr>
          <w:rFonts w:ascii="Arial" w:hAnsi="Arial" w:cs="Arial"/>
          <w:sz w:val="24"/>
          <w:szCs w:val="24"/>
        </w:rPr>
        <w:t xml:space="preserve">the standardized </w:t>
      </w:r>
      <w:r w:rsidRPr="00312D81">
        <w:rPr>
          <w:rFonts w:ascii="Arial" w:hAnsi="Arial" w:cs="Arial"/>
          <w:sz w:val="24"/>
          <w:szCs w:val="24"/>
        </w:rPr>
        <w:t>policies, plans, guidelines and procedures that will allow all our emergency resources</w:t>
      </w:r>
      <w:r w:rsidR="00D94ECA" w:rsidRPr="00312D81">
        <w:rPr>
          <w:rFonts w:ascii="Arial" w:hAnsi="Arial" w:cs="Arial"/>
          <w:sz w:val="24"/>
          <w:szCs w:val="24"/>
        </w:rPr>
        <w:t xml:space="preserve">, </w:t>
      </w:r>
      <w:r w:rsidR="00EF1B34" w:rsidRPr="00312D81">
        <w:rPr>
          <w:rFonts w:ascii="Arial" w:hAnsi="Arial" w:cs="Arial"/>
          <w:sz w:val="24"/>
          <w:szCs w:val="24"/>
        </w:rPr>
        <w:t>governmental</w:t>
      </w:r>
      <w:r w:rsidR="00D94ECA" w:rsidRPr="00312D81">
        <w:rPr>
          <w:rFonts w:ascii="Arial" w:hAnsi="Arial" w:cs="Arial"/>
          <w:sz w:val="24"/>
          <w:szCs w:val="24"/>
        </w:rPr>
        <w:t xml:space="preserve"> and non-governmental,</w:t>
      </w:r>
      <w:r w:rsidRPr="00312D81">
        <w:rPr>
          <w:rFonts w:ascii="Arial" w:hAnsi="Arial" w:cs="Arial"/>
          <w:sz w:val="24"/>
          <w:szCs w:val="24"/>
        </w:rPr>
        <w:t xml:space="preserve"> to</w:t>
      </w:r>
      <w:r w:rsidR="00D94ECA" w:rsidRPr="00312D81">
        <w:rPr>
          <w:rFonts w:ascii="Arial" w:hAnsi="Arial" w:cs="Arial"/>
          <w:sz w:val="24"/>
          <w:szCs w:val="24"/>
        </w:rPr>
        <w:t xml:space="preserve"> collective</w:t>
      </w:r>
      <w:r w:rsidR="00EF1B34" w:rsidRPr="00312D81">
        <w:rPr>
          <w:rFonts w:ascii="Arial" w:hAnsi="Arial" w:cs="Arial"/>
          <w:sz w:val="24"/>
          <w:szCs w:val="24"/>
        </w:rPr>
        <w:t>ly</w:t>
      </w:r>
      <w:r w:rsidR="00D94ECA" w:rsidRPr="00312D81">
        <w:rPr>
          <w:rFonts w:ascii="Arial" w:hAnsi="Arial" w:cs="Arial"/>
          <w:sz w:val="24"/>
          <w:szCs w:val="24"/>
        </w:rPr>
        <w:t xml:space="preserve"> manage and coordinate</w:t>
      </w:r>
      <w:r w:rsidR="00EF1B34" w:rsidRPr="00312D81">
        <w:rPr>
          <w:rFonts w:ascii="Arial" w:hAnsi="Arial" w:cs="Arial"/>
          <w:sz w:val="24"/>
          <w:szCs w:val="24"/>
        </w:rPr>
        <w:t xml:space="preserve"> the</w:t>
      </w:r>
      <w:r w:rsidR="00D94ECA" w:rsidRPr="00312D81">
        <w:rPr>
          <w:rFonts w:ascii="Arial" w:hAnsi="Arial" w:cs="Arial"/>
          <w:sz w:val="24"/>
          <w:szCs w:val="24"/>
        </w:rPr>
        <w:t xml:space="preserve"> preparation, prevention, response, recovery and mitigation</w:t>
      </w:r>
      <w:r w:rsidRPr="00312D81">
        <w:rPr>
          <w:rFonts w:ascii="Arial" w:hAnsi="Arial" w:cs="Arial"/>
          <w:sz w:val="24"/>
          <w:szCs w:val="24"/>
        </w:rPr>
        <w:t xml:space="preserve"> function</w:t>
      </w:r>
      <w:r w:rsidR="00D94ECA" w:rsidRPr="00312D81">
        <w:rPr>
          <w:rFonts w:ascii="Arial" w:hAnsi="Arial" w:cs="Arial"/>
          <w:sz w:val="24"/>
          <w:szCs w:val="24"/>
        </w:rPr>
        <w:t>s</w:t>
      </w:r>
      <w:r w:rsidRPr="00312D81">
        <w:rPr>
          <w:rFonts w:ascii="Arial" w:hAnsi="Arial" w:cs="Arial"/>
          <w:sz w:val="24"/>
          <w:szCs w:val="24"/>
        </w:rPr>
        <w:t xml:space="preserve"> effectively</w:t>
      </w:r>
      <w:r w:rsidR="00D94ECA" w:rsidRPr="00312D81">
        <w:rPr>
          <w:rFonts w:ascii="Arial" w:hAnsi="Arial" w:cs="Arial"/>
          <w:sz w:val="24"/>
          <w:szCs w:val="24"/>
        </w:rPr>
        <w:t xml:space="preserve"> and in a consistent manner</w:t>
      </w:r>
      <w:r w:rsidRPr="00312D81">
        <w:rPr>
          <w:rFonts w:ascii="Arial" w:hAnsi="Arial" w:cs="Arial"/>
          <w:sz w:val="24"/>
          <w:szCs w:val="24"/>
        </w:rPr>
        <w:t>, as a team, when disaster strikes.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 xml:space="preserve">In content and in format, the </w:t>
      </w:r>
      <w:r w:rsidR="00D94ECA" w:rsidRPr="00312D81">
        <w:rPr>
          <w:rFonts w:ascii="Arial" w:hAnsi="Arial" w:cs="Arial"/>
          <w:sz w:val="24"/>
          <w:szCs w:val="24"/>
        </w:rPr>
        <w:t xml:space="preserve">Local Emergency Operations </w:t>
      </w:r>
      <w:r w:rsidRPr="00312D81">
        <w:rPr>
          <w:rFonts w:ascii="Arial" w:hAnsi="Arial" w:cs="Arial"/>
          <w:sz w:val="24"/>
          <w:szCs w:val="24"/>
        </w:rPr>
        <w:t xml:space="preserve">Plan </w:t>
      </w:r>
      <w:r w:rsidR="00D94ECA" w:rsidRPr="00312D81">
        <w:rPr>
          <w:rFonts w:ascii="Arial" w:hAnsi="Arial" w:cs="Arial"/>
          <w:sz w:val="24"/>
          <w:szCs w:val="24"/>
        </w:rPr>
        <w:t xml:space="preserve">(LEOP) </w:t>
      </w:r>
      <w:r w:rsidRPr="00312D81">
        <w:rPr>
          <w:rFonts w:ascii="Arial" w:hAnsi="Arial" w:cs="Arial"/>
          <w:sz w:val="24"/>
          <w:szCs w:val="24"/>
        </w:rPr>
        <w:t xml:space="preserve">is consistent with the </w:t>
      </w:r>
      <w:r w:rsidR="00122622" w:rsidRPr="00312D81">
        <w:rPr>
          <w:rFonts w:ascii="Arial" w:hAnsi="Arial" w:cs="Arial"/>
          <w:sz w:val="24"/>
          <w:szCs w:val="24"/>
        </w:rPr>
        <w:t xml:space="preserve">National Incident Management System (NIMS) </w:t>
      </w:r>
      <w:r w:rsidR="00353FB8" w:rsidRPr="00312D81">
        <w:rPr>
          <w:rFonts w:ascii="Arial" w:hAnsi="Arial" w:cs="Arial"/>
          <w:sz w:val="24"/>
          <w:szCs w:val="24"/>
        </w:rPr>
        <w:t xml:space="preserve">and </w:t>
      </w:r>
      <w:r w:rsidR="00122622" w:rsidRPr="00312D81">
        <w:rPr>
          <w:rFonts w:ascii="Arial" w:hAnsi="Arial" w:cs="Arial"/>
          <w:sz w:val="24"/>
          <w:szCs w:val="24"/>
        </w:rPr>
        <w:t xml:space="preserve">with the </w:t>
      </w:r>
      <w:r w:rsidRPr="00312D81">
        <w:rPr>
          <w:rFonts w:ascii="Arial" w:hAnsi="Arial" w:cs="Arial"/>
          <w:sz w:val="24"/>
          <w:szCs w:val="24"/>
        </w:rPr>
        <w:t>current nationwide concept embodied in the Integrated Emergency Management System (IEMS)</w:t>
      </w:r>
      <w:r w:rsidR="00D94ECA" w:rsidRPr="00312D81">
        <w:rPr>
          <w:rFonts w:ascii="Arial" w:hAnsi="Arial" w:cs="Arial"/>
          <w:sz w:val="24"/>
          <w:szCs w:val="24"/>
        </w:rPr>
        <w:t>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="00D94ECA" w:rsidRPr="00312D81">
        <w:rPr>
          <w:rFonts w:ascii="Arial" w:hAnsi="Arial" w:cs="Arial"/>
          <w:sz w:val="24"/>
          <w:szCs w:val="24"/>
        </w:rPr>
        <w:t>T</w:t>
      </w:r>
      <w:r w:rsidR="00122622" w:rsidRPr="00312D81">
        <w:rPr>
          <w:rFonts w:ascii="Arial" w:hAnsi="Arial" w:cs="Arial"/>
          <w:sz w:val="24"/>
          <w:szCs w:val="24"/>
        </w:rPr>
        <w:t>his</w:t>
      </w:r>
      <w:r w:rsidRPr="00312D81">
        <w:rPr>
          <w:rFonts w:ascii="Arial" w:hAnsi="Arial" w:cs="Arial"/>
          <w:sz w:val="24"/>
          <w:szCs w:val="24"/>
        </w:rPr>
        <w:t xml:space="preserve"> Plan provides for performing specific functions across the full spectrum of hazards.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 xml:space="preserve">Most </w:t>
      </w:r>
      <w:r w:rsidR="00D94ECA" w:rsidRPr="00312D81">
        <w:rPr>
          <w:rFonts w:ascii="Arial" w:hAnsi="Arial" w:cs="Arial"/>
          <w:sz w:val="24"/>
          <w:szCs w:val="24"/>
        </w:rPr>
        <w:t xml:space="preserve">responsibilities, </w:t>
      </w:r>
      <w:r w:rsidRPr="00312D81">
        <w:rPr>
          <w:rFonts w:ascii="Arial" w:hAnsi="Arial" w:cs="Arial"/>
          <w:sz w:val="24"/>
          <w:szCs w:val="24"/>
        </w:rPr>
        <w:t>tasks and capabilities apply across a broad range of hazards.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 xml:space="preserve">By treating them in </w:t>
      </w:r>
      <w:r w:rsidR="00122622" w:rsidRPr="00312D81">
        <w:rPr>
          <w:rFonts w:ascii="Arial" w:hAnsi="Arial" w:cs="Arial"/>
          <w:sz w:val="24"/>
          <w:szCs w:val="24"/>
        </w:rPr>
        <w:t>this</w:t>
      </w:r>
      <w:r w:rsidRPr="00312D81">
        <w:rPr>
          <w:rFonts w:ascii="Arial" w:hAnsi="Arial" w:cs="Arial"/>
          <w:sz w:val="24"/>
          <w:szCs w:val="24"/>
        </w:rPr>
        <w:t xml:space="preserve"> manner we show an integrated approach to disaster management.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Unique aspects of certain hazards are addressed separately, where necessary.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Therefore, this is truly a multi-hazard functional plan.</w:t>
      </w:r>
    </w:p>
    <w:p w14:paraId="4E5B5B85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21D2E432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>The Plan is organized in a manner that enhances this functional approach by incorporating the following components:</w:t>
      </w:r>
    </w:p>
    <w:p w14:paraId="328914B4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4FEBFC41" w14:textId="77777777" w:rsidR="00360CB8" w:rsidRPr="00312D81" w:rsidRDefault="00360CB8" w:rsidP="00A702B0">
      <w:pPr>
        <w:tabs>
          <w:tab w:val="left" w:pos="864"/>
          <w:tab w:val="left" w:pos="1296"/>
        </w:tabs>
        <w:ind w:left="1296" w:hanging="1296"/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ab/>
        <w:t>1.</w:t>
      </w:r>
      <w:r w:rsidRPr="00312D81">
        <w:rPr>
          <w:rFonts w:ascii="Arial" w:hAnsi="Arial" w:cs="Arial"/>
          <w:sz w:val="24"/>
          <w:szCs w:val="24"/>
        </w:rPr>
        <w:tab/>
      </w:r>
      <w:r w:rsidRPr="00312D81">
        <w:rPr>
          <w:rFonts w:ascii="Arial" w:hAnsi="Arial" w:cs="Arial"/>
          <w:sz w:val="24"/>
          <w:szCs w:val="24"/>
          <w:u w:val="single"/>
        </w:rPr>
        <w:t>Basic Plan: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 xml:space="preserve">serves as an overview of </w:t>
      </w:r>
      <w:r w:rsidR="00B63CD9" w:rsidRPr="00312D81">
        <w:rPr>
          <w:rFonts w:ascii="Arial" w:hAnsi="Arial" w:cs="Arial"/>
          <w:sz w:val="24"/>
          <w:szCs w:val="24"/>
        </w:rPr>
        <w:t>the</w:t>
      </w:r>
      <w:r w:rsidRPr="00312D81">
        <w:rPr>
          <w:rFonts w:ascii="Arial" w:hAnsi="Arial" w:cs="Arial"/>
          <w:sz w:val="24"/>
          <w:szCs w:val="24"/>
        </w:rPr>
        <w:t xml:space="preserve"> County's approach to emergency management, assigns responsibilities, and defines broad policies, plans, and procedures.</w:t>
      </w:r>
    </w:p>
    <w:p w14:paraId="2B3932AA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4C59708F" w14:textId="77777777" w:rsidR="00360CB8" w:rsidRPr="00312D81" w:rsidRDefault="00360CB8" w:rsidP="00A702B0">
      <w:pPr>
        <w:tabs>
          <w:tab w:val="left" w:pos="864"/>
          <w:tab w:val="left" w:pos="1296"/>
        </w:tabs>
        <w:ind w:left="1296" w:hanging="1296"/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ab/>
        <w:t>2.</w:t>
      </w:r>
      <w:r w:rsidRPr="00312D81">
        <w:rPr>
          <w:rFonts w:ascii="Arial" w:hAnsi="Arial" w:cs="Arial"/>
          <w:sz w:val="24"/>
          <w:szCs w:val="24"/>
        </w:rPr>
        <w:tab/>
      </w:r>
      <w:r w:rsidRPr="00312D81">
        <w:rPr>
          <w:rFonts w:ascii="Arial" w:hAnsi="Arial" w:cs="Arial"/>
          <w:sz w:val="24"/>
          <w:szCs w:val="24"/>
          <w:u w:val="single"/>
        </w:rPr>
        <w:t>Annexes: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twelve functional Annexes that address the task areas deemed critical to emergency response and recovery.</w:t>
      </w:r>
    </w:p>
    <w:p w14:paraId="1E3FFEC2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181D2608" w14:textId="77777777" w:rsidR="00360CB8" w:rsidRPr="00312D81" w:rsidRDefault="00360CB8" w:rsidP="00A702B0">
      <w:pPr>
        <w:tabs>
          <w:tab w:val="left" w:pos="864"/>
          <w:tab w:val="left" w:pos="1296"/>
        </w:tabs>
        <w:ind w:left="1296" w:hanging="1296"/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ab/>
        <w:t>3.</w:t>
      </w:r>
      <w:r w:rsidRPr="00312D81">
        <w:rPr>
          <w:rFonts w:ascii="Arial" w:hAnsi="Arial" w:cs="Arial"/>
          <w:sz w:val="24"/>
          <w:szCs w:val="24"/>
        </w:rPr>
        <w:tab/>
      </w:r>
      <w:r w:rsidRPr="00312D81">
        <w:rPr>
          <w:rFonts w:ascii="Arial" w:hAnsi="Arial" w:cs="Arial"/>
          <w:sz w:val="24"/>
          <w:szCs w:val="24"/>
          <w:u w:val="single"/>
        </w:rPr>
        <w:t>Appendices: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these sections support various Annexes and generally address unique hazard specific requirements or actions.</w:t>
      </w:r>
    </w:p>
    <w:p w14:paraId="3148B44F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4D3A0567" w14:textId="77777777" w:rsidR="00360CB8" w:rsidRPr="00312D81" w:rsidRDefault="00360CB8" w:rsidP="00A702B0">
      <w:pPr>
        <w:tabs>
          <w:tab w:val="left" w:pos="864"/>
          <w:tab w:val="left" w:pos="1296"/>
        </w:tabs>
        <w:ind w:left="1296" w:hanging="1296"/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</w:rPr>
        <w:tab/>
        <w:t>4.</w:t>
      </w:r>
      <w:r w:rsidRPr="00312D81">
        <w:rPr>
          <w:rFonts w:ascii="Arial" w:hAnsi="Arial" w:cs="Arial"/>
          <w:sz w:val="24"/>
          <w:szCs w:val="24"/>
        </w:rPr>
        <w:tab/>
      </w:r>
      <w:r w:rsidRPr="00312D81">
        <w:rPr>
          <w:rFonts w:ascii="Arial" w:hAnsi="Arial" w:cs="Arial"/>
          <w:sz w:val="24"/>
          <w:szCs w:val="24"/>
          <w:u w:val="single"/>
        </w:rPr>
        <w:t>Tabs: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where necessary, procedures or guidelines for carrying out specific tasks defined in Annexes or Appendices are contained in Tabs.</w:t>
      </w:r>
    </w:p>
    <w:p w14:paraId="45EE1DEE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5AFF014F" w14:textId="77777777" w:rsidR="00360CB8" w:rsidRPr="00312D81" w:rsidRDefault="00360CB8" w:rsidP="0013765E">
      <w:pPr>
        <w:numPr>
          <w:ilvl w:val="0"/>
          <w:numId w:val="1"/>
        </w:num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  <w:r w:rsidRPr="00312D81">
        <w:rPr>
          <w:rFonts w:ascii="Arial" w:hAnsi="Arial" w:cs="Arial"/>
          <w:sz w:val="24"/>
          <w:szCs w:val="24"/>
          <w:u w:val="single"/>
        </w:rPr>
        <w:t>Attachments:</w:t>
      </w:r>
      <w:r w:rsidR="00F401EC">
        <w:rPr>
          <w:rFonts w:ascii="Arial" w:hAnsi="Arial" w:cs="Arial"/>
          <w:sz w:val="24"/>
          <w:szCs w:val="24"/>
        </w:rPr>
        <w:t xml:space="preserve"> </w:t>
      </w:r>
      <w:r w:rsidRPr="00312D81">
        <w:rPr>
          <w:rFonts w:ascii="Arial" w:hAnsi="Arial" w:cs="Arial"/>
          <w:sz w:val="24"/>
          <w:szCs w:val="24"/>
        </w:rPr>
        <w:t>Other supporting information is attached where needed (maps, lists, checklists, etc.).</w:t>
      </w:r>
    </w:p>
    <w:p w14:paraId="03E22957" w14:textId="77777777" w:rsidR="0013765E" w:rsidRPr="00312D81" w:rsidRDefault="0013765E" w:rsidP="0013765E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1658A8D4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625185A9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6C818A85" w14:textId="77777777" w:rsidR="00360CB8" w:rsidRPr="00312D81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40AC0042" w14:textId="77777777" w:rsidR="00360CB8" w:rsidRDefault="00360CB8" w:rsidP="00A702B0">
      <w:pPr>
        <w:tabs>
          <w:tab w:val="left" w:pos="864"/>
          <w:tab w:val="left" w:pos="1296"/>
        </w:tabs>
        <w:jc w:val="both"/>
        <w:rPr>
          <w:rFonts w:ascii="Arial" w:hAnsi="Arial" w:cs="Arial"/>
          <w:sz w:val="24"/>
          <w:szCs w:val="24"/>
        </w:rPr>
      </w:pPr>
    </w:p>
    <w:p w14:paraId="2192CC34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17B0B3C5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70ED4DFA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5AD55F9D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46C1E42C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175B5988" w14:textId="77777777" w:rsidR="001B4A6F" w:rsidRPr="001B4A6F" w:rsidRDefault="001B4A6F" w:rsidP="001B4A6F">
      <w:pPr>
        <w:rPr>
          <w:rFonts w:ascii="Arial" w:hAnsi="Arial" w:cs="Arial"/>
          <w:sz w:val="24"/>
          <w:szCs w:val="24"/>
        </w:rPr>
      </w:pPr>
    </w:p>
    <w:p w14:paraId="26867F50" w14:textId="77777777" w:rsidR="001B4A6F" w:rsidRPr="001B4A6F" w:rsidRDefault="001B4A6F" w:rsidP="001B4A6F">
      <w:pPr>
        <w:tabs>
          <w:tab w:val="left" w:pos="61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1B4A6F" w:rsidRPr="001B4A6F" w:rsidSect="00A303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type w:val="continuous"/>
      <w:pgSz w:w="12240" w:h="15840" w:code="1"/>
      <w:pgMar w:top="1440" w:right="1080" w:bottom="720" w:left="1080" w:header="720" w:footer="576" w:gutter="432"/>
      <w:pgNumType w:fmt="lowerRoman"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07F6D" w14:textId="77777777" w:rsidR="00CD7910" w:rsidRDefault="00CD7910">
      <w:r>
        <w:separator/>
      </w:r>
    </w:p>
  </w:endnote>
  <w:endnote w:type="continuationSeparator" w:id="0">
    <w:p w14:paraId="61162820" w14:textId="77777777" w:rsidR="00CD7910" w:rsidRDefault="00CD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9A6F3" w14:textId="77777777" w:rsidR="002F70C7" w:rsidRDefault="002F70C7">
    <w:pPr>
      <w:tabs>
        <w:tab w:val="left" w:pos="864"/>
        <w:tab w:val="left" w:pos="1296"/>
      </w:tabs>
      <w:spacing w:line="280" w:lineRule="exact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7AA68" w14:textId="77777777" w:rsidR="002F70C7" w:rsidRPr="00035F9B" w:rsidRDefault="002F70C7" w:rsidP="00403C80">
    <w:pPr>
      <w:tabs>
        <w:tab w:val="center" w:pos="5040"/>
        <w:tab w:val="right" w:pos="9630"/>
      </w:tabs>
      <w:rPr>
        <w:rFonts w:ascii="Arial" w:hAnsi="Arial" w:cs="Arial"/>
        <w:color w:val="000000"/>
      </w:rPr>
    </w:pPr>
    <w:r w:rsidRPr="004A5C82">
      <w:rPr>
        <w:rStyle w:val="PageNumber"/>
        <w:rFonts w:ascii="Arial" w:hAnsi="Arial" w:cs="Arial"/>
        <w:color w:val="000000"/>
      </w:rPr>
      <w:tab/>
    </w:r>
    <w:proofErr w:type="spellStart"/>
    <w:r w:rsidR="00EE7A63">
      <w:rPr>
        <w:rStyle w:val="PageNumber"/>
        <w:rFonts w:ascii="Arial" w:hAnsi="Arial" w:cs="Arial"/>
        <w:color w:val="000000"/>
      </w:rPr>
      <w:t>i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1EE14" w14:textId="77777777" w:rsidR="001B4A6F" w:rsidRDefault="001B4A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1D60C" w14:textId="77777777" w:rsidR="00CD7910" w:rsidRDefault="00CD7910">
      <w:r>
        <w:separator/>
      </w:r>
    </w:p>
  </w:footnote>
  <w:footnote w:type="continuationSeparator" w:id="0">
    <w:p w14:paraId="6D9B49E3" w14:textId="77777777" w:rsidR="00CD7910" w:rsidRDefault="00CD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B448A" w14:textId="77777777" w:rsidR="001B4A6F" w:rsidRDefault="001B4A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3904D" w14:textId="77777777" w:rsidR="002F70C7" w:rsidRPr="004A5C82" w:rsidRDefault="002F70C7" w:rsidP="00A702B0">
    <w:pPr>
      <w:pStyle w:val="Header"/>
      <w:tabs>
        <w:tab w:val="clear" w:pos="4320"/>
        <w:tab w:val="clear" w:pos="8640"/>
        <w:tab w:val="right" w:pos="10080"/>
      </w:tabs>
      <w:rPr>
        <w:rFonts w:ascii="Arial" w:hAnsi="Arial" w:cs="Arial"/>
      </w:rPr>
    </w:pPr>
    <w:r w:rsidRPr="004A5C82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4A5C82">
          <w:rPr>
            <w:rFonts w:ascii="Arial" w:hAnsi="Arial" w:cs="Arial"/>
          </w:rPr>
          <w:t>COUNTY</w:t>
        </w:r>
      </w:smartTag>
      <w:r w:rsidRPr="004A5C82">
        <w:rPr>
          <w:rFonts w:ascii="Arial" w:hAnsi="Arial" w:cs="Arial"/>
        </w:rPr>
        <w:t xml:space="preserve"> </w:t>
      </w:r>
      <w:smartTag w:uri="urn:schemas-microsoft-com:office:smarttags" w:element="PlaceName">
        <w:r w:rsidRPr="004A5C82">
          <w:rPr>
            <w:rFonts w:ascii="Arial" w:hAnsi="Arial" w:cs="Arial"/>
          </w:rPr>
          <w:t>LEOP</w:t>
        </w:r>
      </w:smartTag>
    </w:smartTag>
    <w:r w:rsidRPr="004A5C82"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2AF88" w14:textId="77777777" w:rsidR="001B4A6F" w:rsidRDefault="001B4A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977755"/>
    <w:multiLevelType w:val="hybridMultilevel"/>
    <w:tmpl w:val="504496D4"/>
    <w:lvl w:ilvl="0" w:tplc="345E72C4">
      <w:start w:val="5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 w16cid:durableId="55033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C3"/>
    <w:rsid w:val="00034531"/>
    <w:rsid w:val="00035F9B"/>
    <w:rsid w:val="00043F12"/>
    <w:rsid w:val="00090544"/>
    <w:rsid w:val="000B2079"/>
    <w:rsid w:val="00122622"/>
    <w:rsid w:val="0013765E"/>
    <w:rsid w:val="001B4A6F"/>
    <w:rsid w:val="001C6C7D"/>
    <w:rsid w:val="002341C3"/>
    <w:rsid w:val="002575AA"/>
    <w:rsid w:val="002E1F2E"/>
    <w:rsid w:val="002E4F26"/>
    <w:rsid w:val="002F70C7"/>
    <w:rsid w:val="00305D8B"/>
    <w:rsid w:val="00312D81"/>
    <w:rsid w:val="00353FB8"/>
    <w:rsid w:val="003558D3"/>
    <w:rsid w:val="00360CB8"/>
    <w:rsid w:val="0039049F"/>
    <w:rsid w:val="00396A4F"/>
    <w:rsid w:val="00403C80"/>
    <w:rsid w:val="0045063D"/>
    <w:rsid w:val="0049691A"/>
    <w:rsid w:val="004A5C82"/>
    <w:rsid w:val="004F6EE8"/>
    <w:rsid w:val="005123F8"/>
    <w:rsid w:val="005447AE"/>
    <w:rsid w:val="0055413E"/>
    <w:rsid w:val="00595F47"/>
    <w:rsid w:val="00607E4B"/>
    <w:rsid w:val="00663938"/>
    <w:rsid w:val="00665F1F"/>
    <w:rsid w:val="006B6B5B"/>
    <w:rsid w:val="00700F35"/>
    <w:rsid w:val="007022A6"/>
    <w:rsid w:val="00713C03"/>
    <w:rsid w:val="007526CD"/>
    <w:rsid w:val="00764C68"/>
    <w:rsid w:val="007A5933"/>
    <w:rsid w:val="007F12F9"/>
    <w:rsid w:val="00833701"/>
    <w:rsid w:val="008362DE"/>
    <w:rsid w:val="00851301"/>
    <w:rsid w:val="00867FB2"/>
    <w:rsid w:val="0089186A"/>
    <w:rsid w:val="008C07DC"/>
    <w:rsid w:val="009047E4"/>
    <w:rsid w:val="00A303C3"/>
    <w:rsid w:val="00A702B0"/>
    <w:rsid w:val="00A70DC1"/>
    <w:rsid w:val="00A770EB"/>
    <w:rsid w:val="00A92E26"/>
    <w:rsid w:val="00AC4CB1"/>
    <w:rsid w:val="00AF5E21"/>
    <w:rsid w:val="00B327DE"/>
    <w:rsid w:val="00B63CD9"/>
    <w:rsid w:val="00CA260E"/>
    <w:rsid w:val="00CA6E19"/>
    <w:rsid w:val="00CA6EF9"/>
    <w:rsid w:val="00CD1958"/>
    <w:rsid w:val="00CD7910"/>
    <w:rsid w:val="00D94ECA"/>
    <w:rsid w:val="00DC56C5"/>
    <w:rsid w:val="00DD07BE"/>
    <w:rsid w:val="00E3226B"/>
    <w:rsid w:val="00EE7A63"/>
    <w:rsid w:val="00EF1B34"/>
    <w:rsid w:val="00F1678D"/>
    <w:rsid w:val="00F30D82"/>
    <w:rsid w:val="00F401EC"/>
    <w:rsid w:val="00F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2"/>
    </o:shapelayout>
  </w:shapeDefaults>
  <w:decimalSymbol w:val="."/>
  <w:listSeparator w:val=","/>
  <w14:docId w14:val="56B50ED8"/>
  <w15:chartTrackingRefBased/>
  <w15:docId w15:val="{8EF34A01-96B0-42A1-9643-D1E31824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EE8"/>
    <w:rPr>
      <w:rFonts w:ascii="Helvetica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4F6EE8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4F6EE8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Footer">
    <w:name w:val="footer"/>
    <w:basedOn w:val="Normal"/>
    <w:rsid w:val="004F6EE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4F6EE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6EE8"/>
  </w:style>
  <w:style w:type="paragraph" w:styleId="BalloonText">
    <w:name w:val="Balloon Text"/>
    <w:basedOn w:val="Normal"/>
    <w:semiHidden/>
    <w:rsid w:val="004F6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PREFACE</vt:lpstr>
    </vt:vector>
  </TitlesOfParts>
  <Company>St of NE, Nebraska Emergency Management Agency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PREFACE</dc:title>
  <dc:subject/>
  <dc:creator>Dan Hiller</dc:creator>
  <cp:keywords>Preface to Basic</cp:keywords>
  <cp:lastModifiedBy>Lueking, Logan</cp:lastModifiedBy>
  <cp:revision>2</cp:revision>
  <cp:lastPrinted>2008-01-10T16:23:00Z</cp:lastPrinted>
  <dcterms:created xsi:type="dcterms:W3CDTF">2025-01-21T20:26:00Z</dcterms:created>
  <dcterms:modified xsi:type="dcterms:W3CDTF">2025-01-21T20:26:00Z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1115367934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